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66926E42" w:rsidR="00F445B1" w:rsidRPr="003E4C33" w:rsidRDefault="00BF2B37" w:rsidP="004A6D2F">
            <w:pPr>
              <w:rPr>
                <w:rStyle w:val="Firstpagetablebold"/>
                <w:rFonts w:cs="Arial"/>
              </w:rPr>
            </w:pPr>
            <w:r w:rsidRPr="003E4C33">
              <w:rPr>
                <w:rStyle w:val="Firstpagetablebold"/>
                <w:rFonts w:cs="Arial"/>
              </w:rPr>
              <w:t xml:space="preserve">Single Member Decision </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76017455" w:rsidR="00F445B1" w:rsidRPr="00C55247" w:rsidRDefault="003D26BD" w:rsidP="007B5CA2">
            <w:pPr>
              <w:rPr>
                <w:rFonts w:cs="Arial"/>
                <w:b/>
                <w:bCs/>
                <w:color w:val="auto"/>
              </w:rPr>
            </w:pPr>
            <w:r>
              <w:rPr>
                <w:rStyle w:val="Firstpagetablebold"/>
                <w:b w:val="0"/>
              </w:rPr>
              <w:t>30th April 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224177CC" w:rsidR="00F4662E" w:rsidRPr="00C55247" w:rsidRDefault="00F4662E" w:rsidP="2BB29E7E">
            <w:pPr>
              <w:rPr>
                <w:rStyle w:val="Firstpagetablebold"/>
                <w:rFonts w:cs="Arial"/>
                <w:b w:val="0"/>
                <w:color w:val="auto"/>
              </w:rPr>
            </w:pPr>
            <w:r>
              <w:rPr>
                <w:rStyle w:val="Firstpagetablebold"/>
                <w:rFonts w:cs="Arial"/>
                <w:b w:val="0"/>
                <w:color w:val="auto"/>
              </w:rPr>
              <w:t>Councillor Susan Brown – Leader of the Council</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56FD976C" w:rsidR="00F445B1" w:rsidRPr="00C55247" w:rsidRDefault="00F4662E" w:rsidP="6705CB2F">
            <w:pPr>
              <w:rPr>
                <w:rStyle w:val="Firstpagetablebold"/>
                <w:rFonts w:cs="Arial"/>
                <w:b w:val="0"/>
                <w:color w:val="auto"/>
              </w:rPr>
            </w:pPr>
            <w:r>
              <w:rPr>
                <w:rFonts w:cs="Arial"/>
              </w:rPr>
              <w:t>Declaration of dividend from OCH(D)L</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26A2AEAD" w:rsidR="00D5547E" w:rsidRPr="00C55247" w:rsidRDefault="00F4662E" w:rsidP="2BB29E7E">
            <w:pPr>
              <w:rPr>
                <w:rFonts w:cs="Arial"/>
                <w:color w:val="auto"/>
              </w:rPr>
            </w:pPr>
            <w:r>
              <w:rPr>
                <w:rFonts w:cs="Arial"/>
              </w:rPr>
              <w:t>The decision is required for OCH(D)L to pay OCC £3m dividend income.</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660E87DE" w:rsidR="00D5547E" w:rsidRPr="00C55247" w:rsidRDefault="00F4662E" w:rsidP="2BB29E7E">
            <w:pPr>
              <w:rPr>
                <w:rFonts w:cs="Arial"/>
                <w:color w:val="auto"/>
              </w:rPr>
            </w:pPr>
            <w:r w:rsidRPr="00A164C8">
              <w:rPr>
                <w:rStyle w:val="normaltextrun"/>
                <w:rFonts w:cs="Arial"/>
                <w:shd w:val="clear" w:color="auto" w:fill="FFFFFF"/>
              </w:rPr>
              <w:t>Declaration of a dividend of £</w:t>
            </w:r>
            <w:r>
              <w:rPr>
                <w:rStyle w:val="normaltextrun"/>
                <w:rFonts w:cs="Arial"/>
                <w:shd w:val="clear" w:color="auto" w:fill="FFFFFF"/>
              </w:rPr>
              <w:t>3</w:t>
            </w:r>
            <w:r w:rsidRPr="00A164C8">
              <w:rPr>
                <w:rStyle w:val="normaltextrun"/>
                <w:rFonts w:cs="Arial"/>
                <w:shd w:val="clear" w:color="auto" w:fill="FFFFFF"/>
              </w:rPr>
              <w:t>m for the financial year 202</w:t>
            </w:r>
            <w:r>
              <w:rPr>
                <w:rStyle w:val="normaltextrun"/>
                <w:rFonts w:cs="Arial"/>
                <w:shd w:val="clear" w:color="auto" w:fill="FFFFFF"/>
              </w:rPr>
              <w:t>4</w:t>
            </w:r>
            <w:r w:rsidRPr="00A164C8">
              <w:rPr>
                <w:rStyle w:val="normaltextrun"/>
                <w:rFonts w:cs="Arial"/>
                <w:shd w:val="clear" w:color="auto" w:fill="FFFFFF"/>
              </w:rPr>
              <w:t>/2</w:t>
            </w:r>
            <w:r>
              <w:rPr>
                <w:rStyle w:val="normaltextrun"/>
                <w:rFonts w:cs="Arial"/>
                <w:shd w:val="clear" w:color="auto" w:fill="FFFFFF"/>
              </w:rPr>
              <w:t>5</w:t>
            </w:r>
            <w:r w:rsidRPr="00A164C8">
              <w:rPr>
                <w:rStyle w:val="normaltextrun"/>
                <w:rFonts w:cs="Arial"/>
                <w:shd w:val="clear" w:color="auto" w:fill="FFFFFF"/>
              </w:rPr>
              <w:t xml:space="preserve"> from </w:t>
            </w:r>
            <w:r>
              <w:rPr>
                <w:rStyle w:val="normaltextrun"/>
                <w:rFonts w:cs="Arial"/>
                <w:shd w:val="clear" w:color="auto" w:fill="FFFFFF"/>
              </w:rPr>
              <w:t>OCH(D)L</w:t>
            </w:r>
            <w:r w:rsidRPr="00A164C8">
              <w:rPr>
                <w:rStyle w:val="normaltextrun"/>
                <w:rFonts w:cs="Arial"/>
                <w:shd w:val="clear" w:color="auto" w:fill="FFFFFF"/>
              </w:rPr>
              <w:t xml:space="preserve">. </w:t>
            </w:r>
            <w:r>
              <w:rPr>
                <w:rStyle w:val="normaltextrun"/>
                <w:rFonts w:cs="Arial"/>
                <w:shd w:val="clear" w:color="auto" w:fill="FFFFFF"/>
              </w:rPr>
              <w:t>D</w:t>
            </w:r>
            <w:r>
              <w:rPr>
                <w:rStyle w:val="normaltextrun"/>
                <w:shd w:val="clear" w:color="auto" w:fill="FFFFFF"/>
              </w:rPr>
              <w:t>ecision is not exempt.</w:t>
            </w:r>
            <w:r w:rsidR="08612AF7" w:rsidRPr="00C55247">
              <w:rPr>
                <w:rFonts w:cs="Arial"/>
                <w:color w:val="auto"/>
              </w:rPr>
              <w:t xml:space="preserve"> </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2C809842" w14:textId="77777777" w:rsidR="00F4662E" w:rsidRPr="00F4662E" w:rsidRDefault="00F4662E" w:rsidP="00F4662E">
            <w:pPr>
              <w:spacing w:after="0"/>
              <w:rPr>
                <w:rFonts w:cs="Arial"/>
                <w:color w:val="auto"/>
              </w:rPr>
            </w:pPr>
            <w:r w:rsidRPr="00F4662E">
              <w:rPr>
                <w:rFonts w:cs="Arial"/>
                <w:color w:val="auto"/>
              </w:rPr>
              <w:t xml:space="preserve">Part 4.6 and 3.4 of the Constitution: </w:t>
            </w:r>
          </w:p>
          <w:p w14:paraId="5C5DF6B7" w14:textId="77777777" w:rsidR="00F4662E" w:rsidRPr="00F4662E" w:rsidRDefault="00F4662E" w:rsidP="00F4662E">
            <w:pPr>
              <w:spacing w:after="0"/>
              <w:rPr>
                <w:rFonts w:cs="Arial"/>
                <w:color w:val="auto"/>
              </w:rPr>
            </w:pPr>
          </w:p>
          <w:p w14:paraId="1BCEA30C" w14:textId="77777777" w:rsidR="00F4662E" w:rsidRPr="00F4662E" w:rsidRDefault="00F4662E" w:rsidP="00F4662E">
            <w:pPr>
              <w:spacing w:after="0"/>
              <w:rPr>
                <w:rFonts w:cs="Arial"/>
                <w:color w:val="auto"/>
              </w:rPr>
            </w:pPr>
            <w:r w:rsidRPr="00F4662E">
              <w:rPr>
                <w:rFonts w:cs="Arial"/>
                <w:color w:val="auto"/>
              </w:rPr>
              <w:t xml:space="preserve">The Leader may delegate executive responsibilities to a single Cabinet Member with or without consultation with officers or other Cabinet Members. </w:t>
            </w:r>
          </w:p>
          <w:p w14:paraId="6151D1A8" w14:textId="77777777" w:rsidR="00F4662E" w:rsidRPr="00F4662E" w:rsidRDefault="00F4662E" w:rsidP="00F4662E">
            <w:pPr>
              <w:spacing w:after="0"/>
              <w:rPr>
                <w:rFonts w:cs="Arial"/>
                <w:color w:val="auto"/>
              </w:rPr>
            </w:pPr>
          </w:p>
          <w:p w14:paraId="1AE5131E" w14:textId="77777777" w:rsidR="00F4662E" w:rsidRPr="00F4662E" w:rsidRDefault="00F4662E" w:rsidP="00F4662E">
            <w:pPr>
              <w:spacing w:after="0"/>
              <w:rPr>
                <w:rFonts w:cs="Arial"/>
                <w:color w:val="auto"/>
              </w:rPr>
            </w:pPr>
            <w:r w:rsidRPr="00F4662E">
              <w:rPr>
                <w:rFonts w:cs="Arial"/>
                <w:color w:val="auto"/>
              </w:rPr>
              <w:t xml:space="preserve">The decision making is currently delegated to the Shareholder &amp; Joint Venture Group. </w:t>
            </w:r>
          </w:p>
          <w:p w14:paraId="611B2DC1" w14:textId="77777777" w:rsidR="00F4662E" w:rsidRPr="00F4662E" w:rsidRDefault="00F4662E" w:rsidP="00F4662E">
            <w:pPr>
              <w:spacing w:after="0"/>
              <w:rPr>
                <w:rFonts w:cs="Arial"/>
                <w:color w:val="auto"/>
              </w:rPr>
            </w:pPr>
          </w:p>
          <w:p w14:paraId="6AB7265E" w14:textId="77777777" w:rsidR="00F4662E" w:rsidRPr="00F4662E" w:rsidRDefault="00F4662E" w:rsidP="00F4662E">
            <w:pPr>
              <w:spacing w:after="0"/>
              <w:rPr>
                <w:rFonts w:cs="Arial"/>
                <w:color w:val="auto"/>
              </w:rPr>
            </w:pPr>
            <w:r w:rsidRPr="00F4662E">
              <w:rPr>
                <w:rFonts w:cs="Arial"/>
                <w:color w:val="auto"/>
              </w:rPr>
              <w:t xml:space="preserve">Under Part 3.4 the Leader may take back responsibility at any time where they have been delegated. The Leader has determined to do so in relation to this decision. </w:t>
            </w:r>
          </w:p>
          <w:p w14:paraId="24C2E022" w14:textId="4FD70ECF" w:rsidR="006B2DE1" w:rsidRPr="00C55247" w:rsidRDefault="006B2DE1" w:rsidP="003E4C33">
            <w:pPr>
              <w:rPr>
                <w:rFonts w:cs="Arial"/>
                <w:color w:val="auto"/>
              </w:rPr>
            </w:pP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2F095617" w:rsidR="00E508A1" w:rsidRPr="00C55247" w:rsidRDefault="00F4662E" w:rsidP="00E508A1">
            <w:pPr>
              <w:rPr>
                <w:rFonts w:cs="Arial"/>
                <w:color w:val="auto"/>
              </w:rPr>
            </w:pPr>
            <w:r>
              <w:rPr>
                <w:color w:val="auto"/>
              </w:rPr>
              <w:t>Councillor Susan Brown</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6B896638" w:rsidR="00E508A1" w:rsidRPr="00C55247" w:rsidRDefault="003D26BD" w:rsidP="00E508A1">
            <w:pPr>
              <w:rPr>
                <w:rFonts w:cs="Arial"/>
                <w:color w:val="auto"/>
              </w:rPr>
            </w:pPr>
            <w:r>
              <w:rPr>
                <w:rFonts w:cs="Arial"/>
                <w:color w:val="auto"/>
              </w:rPr>
              <w:t>Well run council</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0E063E52" w:rsidR="00E508A1" w:rsidRPr="00C55247" w:rsidRDefault="003D26BD" w:rsidP="00E508A1">
            <w:pPr>
              <w:rPr>
                <w:rFonts w:cs="Arial"/>
                <w:color w:val="auto"/>
              </w:rPr>
            </w:pPr>
            <w:r>
              <w:rPr>
                <w:rFonts w:cs="Arial"/>
                <w:color w:val="auto"/>
              </w:rPr>
              <w:t>Budget</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0FD0B08">
        <w:trPr>
          <w:trHeight w:val="413"/>
        </w:trPr>
        <w:tc>
          <w:tcPr>
            <w:tcW w:w="8845" w:type="dxa"/>
            <w:gridSpan w:val="2"/>
            <w:tcBorders>
              <w:bottom w:val="single" w:sz="8" w:space="0" w:color="000000"/>
            </w:tcBorders>
          </w:tcPr>
          <w:p w14:paraId="39BB8A6A" w14:textId="694C4A8F" w:rsidR="00340B77" w:rsidRPr="00975B07" w:rsidRDefault="00635E3E" w:rsidP="00FD0B08">
            <w:r>
              <w:t xml:space="preserve">The </w:t>
            </w:r>
            <w:r w:rsidR="003D26BD">
              <w:t xml:space="preserve">Leader of the Council </w:t>
            </w:r>
            <w:r>
              <w:t xml:space="preserve">decides as follows: </w:t>
            </w:r>
          </w:p>
        </w:tc>
      </w:tr>
      <w:tr w:rsidR="00340B77" w:rsidRPr="00975B07" w14:paraId="1817F3CE" w14:textId="77777777" w:rsidTr="00530DF4">
        <w:trPr>
          <w:trHeight w:val="283"/>
        </w:trPr>
        <w:tc>
          <w:tcPr>
            <w:tcW w:w="426" w:type="dxa"/>
            <w:tcBorders>
              <w:top w:val="single" w:sz="8" w:space="0" w:color="000000"/>
              <w:left w:val="single" w:sz="8" w:space="0" w:color="000000"/>
              <w:bottom w:val="single" w:sz="4" w:space="0" w:color="auto"/>
              <w:right w:val="nil"/>
            </w:tcBorders>
          </w:tcPr>
          <w:p w14:paraId="7809A8B3" w14:textId="77777777" w:rsidR="00340B77" w:rsidRPr="00975B07" w:rsidRDefault="00340B77" w:rsidP="00FD0B08">
            <w:r w:rsidRPr="00975B07">
              <w:t>1.</w:t>
            </w:r>
          </w:p>
        </w:tc>
        <w:tc>
          <w:tcPr>
            <w:tcW w:w="8419" w:type="dxa"/>
            <w:tcBorders>
              <w:top w:val="single" w:sz="8" w:space="0" w:color="000000"/>
              <w:left w:val="nil"/>
              <w:bottom w:val="single" w:sz="4" w:space="0" w:color="auto"/>
              <w:right w:val="single" w:sz="8" w:space="0" w:color="000000"/>
            </w:tcBorders>
            <w:shd w:val="clear" w:color="auto" w:fill="auto"/>
          </w:tcPr>
          <w:p w14:paraId="2599CB46" w14:textId="2ADFD505" w:rsidR="00340B77" w:rsidRPr="001356F1" w:rsidRDefault="003D26BD" w:rsidP="00FD0B08">
            <w:r>
              <w:t>To receive a dividend payment of £3million from OCH(D)L to Oxford City Council</w:t>
            </w:r>
          </w:p>
        </w:tc>
      </w:tr>
    </w:tbl>
    <w:p w14:paraId="161FC716" w14:textId="77777777" w:rsidR="00340B77" w:rsidRDefault="00340B77" w:rsidP="004A6D2F"/>
    <w:p w14:paraId="20640FB6" w14:textId="77777777" w:rsidR="00340B77" w:rsidRPr="003E4C33" w:rsidRDefault="00340B77" w:rsidP="004A6D2F">
      <w:pPr>
        <w:rPr>
          <w:rFonts w:cs="Arial"/>
        </w:rPr>
      </w:pPr>
    </w:p>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33557E55" w14:textId="071B70C5" w:rsidR="00CB7A4F" w:rsidRPr="007C1F3D" w:rsidRDefault="00911682" w:rsidP="007C1F3D">
      <w:pPr>
        <w:pStyle w:val="ListParagraph"/>
        <w:numPr>
          <w:ilvl w:val="0"/>
          <w:numId w:val="46"/>
        </w:numPr>
        <w:rPr>
          <w:rFonts w:cs="Arial"/>
          <w:color w:val="auto"/>
        </w:rPr>
      </w:pPr>
      <w:r>
        <w:rPr>
          <w:rFonts w:cs="Arial"/>
          <w:color w:val="auto"/>
        </w:rPr>
        <w:t xml:space="preserve">OCH(D)L have recommended to shareholders to pay a dividend to the council of £3million.  </w:t>
      </w:r>
    </w:p>
    <w:p w14:paraId="43AC1EEC" w14:textId="18315047" w:rsidR="00CB7A4F" w:rsidRPr="00911682" w:rsidRDefault="00CB7A4F" w:rsidP="00911682">
      <w:pPr>
        <w:pStyle w:val="bParagraphtext"/>
        <w:numPr>
          <w:ilvl w:val="0"/>
          <w:numId w:val="0"/>
        </w:numPr>
        <w:ind w:left="426"/>
        <w:rPr>
          <w:rFonts w:cs="Arial"/>
          <w:color w:val="auto"/>
        </w:rPr>
      </w:pP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3A24C97A" w14:textId="24C50234" w:rsidR="006C7D2E" w:rsidRPr="00911682" w:rsidRDefault="00911682" w:rsidP="00911682">
      <w:pPr>
        <w:pStyle w:val="bParagraphtext"/>
        <w:rPr>
          <w:rFonts w:cs="Arial"/>
          <w:color w:val="auto"/>
        </w:rPr>
      </w:pPr>
      <w:r>
        <w:rPr>
          <w:rFonts w:cs="Arial"/>
          <w:color w:val="auto"/>
        </w:rPr>
        <w:t xml:space="preserve">The Council is required to </w:t>
      </w:r>
      <w:proofErr w:type="gramStart"/>
      <w:r>
        <w:rPr>
          <w:rFonts w:cs="Arial"/>
          <w:color w:val="auto"/>
        </w:rPr>
        <w:t>make a decision</w:t>
      </w:r>
      <w:proofErr w:type="gramEnd"/>
      <w:r>
        <w:rPr>
          <w:rFonts w:cs="Arial"/>
          <w:color w:val="auto"/>
        </w:rPr>
        <w:t xml:space="preserve"> to accept or not accept the dividend of £3million</w:t>
      </w:r>
      <w:r w:rsidR="00CB7A4F" w:rsidRPr="00911682">
        <w:rPr>
          <w:rFonts w:cs="Arial"/>
          <w:color w:val="auto"/>
        </w:rPr>
        <w:t xml:space="preserve"> </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009880FB" w:rsidR="006C7D2E" w:rsidRPr="00C55247" w:rsidRDefault="00911682" w:rsidP="007C1F3D">
      <w:pPr>
        <w:pStyle w:val="ListParagraph"/>
      </w:pPr>
      <w:r>
        <w:rPr>
          <w:sz w:val="27"/>
          <w:szCs w:val="27"/>
        </w:rPr>
        <w:t>The Council could choose not to accept the £3million being declared by the Company although that would create a financial whole in the Councils finance which would need to be funded from alternative resources.</w:t>
      </w:r>
      <w:r w:rsidR="00241830" w:rsidRPr="00C55247">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37DABFF6" w:rsidR="009D3627" w:rsidRPr="00C55247" w:rsidRDefault="00911682" w:rsidP="6705CB2F">
      <w:pPr>
        <w:pStyle w:val="ListParagraph"/>
        <w:rPr>
          <w:color w:val="auto"/>
        </w:rPr>
      </w:pPr>
      <w:r>
        <w:rPr>
          <w:color w:val="auto"/>
        </w:rPr>
        <w:t>There are no equalities impacts</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1585D049" w14:textId="5A764CDB" w:rsidR="009E68E0" w:rsidRPr="00C55247" w:rsidRDefault="00911682" w:rsidP="009E68E0">
      <w:pPr>
        <w:pStyle w:val="ListParagraph"/>
        <w:rPr>
          <w:color w:val="auto"/>
        </w:rPr>
      </w:pPr>
      <w:r>
        <w:rPr>
          <w:color w:val="auto"/>
        </w:rPr>
        <w:t>There are no risks of accepting the dividend payment.</w:t>
      </w:r>
      <w:r w:rsidR="009E68E0" w:rsidRPr="00C55247">
        <w:rPr>
          <w:color w:val="auto"/>
        </w:rPr>
        <w:t xml:space="preserve"> </w:t>
      </w: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370548E2" w14:textId="2AB9BB5A" w:rsidR="00630829" w:rsidRPr="00C55247" w:rsidRDefault="00911682" w:rsidP="00630829">
      <w:pPr>
        <w:pStyle w:val="bParagraphtext"/>
        <w:rPr>
          <w:color w:val="auto"/>
        </w:rPr>
      </w:pPr>
      <w:r>
        <w:rPr>
          <w:color w:val="auto"/>
        </w:rPr>
        <w:t>There are no implications</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696855A" w14:textId="5F7A90D5" w:rsidR="00372A82" w:rsidRPr="00C55247" w:rsidRDefault="003D26BD" w:rsidP="00CB7A4F">
            <w:pPr>
              <w:rPr>
                <w:rFonts w:cs="Arial"/>
                <w:color w:val="auto"/>
              </w:rPr>
            </w:pPr>
            <w:r>
              <w:rPr>
                <w:sz w:val="27"/>
                <w:szCs w:val="27"/>
              </w:rPr>
              <w:t>Release of available distributable reserves from OCH(D)L in the order of £3million to meet the Council’s MTFP assumptions</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02C01B6B" w14:textId="10FB00A8" w:rsidR="003D26BD" w:rsidRPr="003D26BD" w:rsidRDefault="003D26BD" w:rsidP="00C076B9">
            <w:pPr>
              <w:pStyle w:val="Bulletpoints"/>
              <w:numPr>
                <w:ilvl w:val="0"/>
                <w:numId w:val="0"/>
              </w:numPr>
              <w:rPr>
                <w:rFonts w:cs="Arial"/>
                <w:bCs/>
                <w:color w:val="auto"/>
              </w:rPr>
            </w:pPr>
            <w:r w:rsidRPr="003D26BD">
              <w:rPr>
                <w:rFonts w:cs="Arial"/>
                <w:bCs/>
                <w:color w:val="auto"/>
              </w:rPr>
              <w:t>N</w:t>
            </w:r>
            <w:r w:rsidRPr="003D26BD">
              <w:rPr>
                <w:bCs/>
              </w:rPr>
              <w:t>igel Kennedy</w:t>
            </w:r>
            <w:r w:rsidR="00530DF4">
              <w:rPr>
                <w:bCs/>
              </w:rPr>
              <w:t>, Group Finance Director</w:t>
            </w:r>
          </w:p>
          <w:p w14:paraId="7DB0BC85" w14:textId="7C1312AB"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702FC662" w:rsidR="001A1BA1" w:rsidRPr="00C55247" w:rsidRDefault="003D26BD" w:rsidP="00C076B9">
            <w:pPr>
              <w:pStyle w:val="Bulletpoints"/>
              <w:numPr>
                <w:ilvl w:val="0"/>
                <w:numId w:val="0"/>
              </w:numPr>
              <w:rPr>
                <w:rFonts w:cs="Arial"/>
                <w:color w:val="auto"/>
              </w:rPr>
            </w:pPr>
            <w:r>
              <w:rPr>
                <w:rFonts w:cs="Arial"/>
                <w:color w:val="auto"/>
              </w:rPr>
              <w:t>30/04/2025</w:t>
            </w:r>
          </w:p>
        </w:tc>
      </w:tr>
      <w:tr w:rsidR="00372A82" w:rsidRPr="003E4C33" w14:paraId="7D8DECFB" w14:textId="77777777" w:rsidTr="00BD1F7A">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11BAD199" w14:textId="728DA03F" w:rsidR="00372A82" w:rsidRPr="00C55247" w:rsidRDefault="00530DF4" w:rsidP="00CB7A4F">
            <w:pPr>
              <w:rPr>
                <w:rFonts w:cs="Arial"/>
                <w:color w:val="auto"/>
              </w:rPr>
            </w:pPr>
            <w:r w:rsidRPr="00530DF4">
              <w:rPr>
                <w:rFonts w:cs="Arial"/>
                <w:color w:val="auto"/>
              </w:rPr>
              <w:t xml:space="preserve">This is a matter for the </w:t>
            </w:r>
            <w:proofErr w:type="gramStart"/>
            <w:r w:rsidRPr="00530DF4">
              <w:rPr>
                <w:rFonts w:cs="Arial"/>
                <w:color w:val="auto"/>
              </w:rPr>
              <w:t>SHJVG,</w:t>
            </w:r>
            <w:proofErr w:type="gramEnd"/>
            <w:r w:rsidRPr="00530DF4">
              <w:rPr>
                <w:rFonts w:cs="Arial"/>
                <w:color w:val="auto"/>
              </w:rPr>
              <w:t xml:space="preserve"> however the Leader can take back a delegation under Part 3.4 of the constitution and make further delegations as they require to Single members or take a decision themselves.</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731E8265" w:rsidR="001A1BA1" w:rsidRPr="00C55247" w:rsidRDefault="00530DF4" w:rsidP="001A1BA1">
            <w:pPr>
              <w:pStyle w:val="Bulletpoints"/>
              <w:numPr>
                <w:ilvl w:val="0"/>
                <w:numId w:val="0"/>
              </w:numPr>
              <w:rPr>
                <w:rFonts w:cs="Arial"/>
                <w:color w:val="auto"/>
              </w:rPr>
            </w:pPr>
            <w:r>
              <w:rPr>
                <w:rFonts w:cs="Arial"/>
                <w:color w:val="auto"/>
              </w:rPr>
              <w:t>Emma Jackman, Director of Law, Governance and Strategy</w:t>
            </w:r>
          </w:p>
          <w:p w14:paraId="62D75828"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69902F66" w:rsidR="00372A82" w:rsidRPr="00C55247" w:rsidRDefault="00530DF4" w:rsidP="001A1BA1">
            <w:pPr>
              <w:pStyle w:val="Bulletpoints"/>
              <w:numPr>
                <w:ilvl w:val="0"/>
                <w:numId w:val="0"/>
              </w:numPr>
              <w:rPr>
                <w:rFonts w:cs="Arial"/>
                <w:color w:val="auto"/>
              </w:rPr>
            </w:pPr>
            <w:r>
              <w:rPr>
                <w:rFonts w:cs="Arial"/>
                <w:color w:val="auto"/>
              </w:rPr>
              <w:t>30/04/2025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35BBEBBB" w:rsidR="00CB7A4F" w:rsidRPr="00C55247" w:rsidRDefault="003D26BD" w:rsidP="00372A82">
            <w:pPr>
              <w:pStyle w:val="bParagraphtext"/>
              <w:numPr>
                <w:ilvl w:val="0"/>
                <w:numId w:val="0"/>
              </w:numPr>
              <w:rPr>
                <w:rFonts w:cs="Arial"/>
                <w:color w:val="auto"/>
              </w:rPr>
            </w:pPr>
            <w:r>
              <w:rPr>
                <w:rFonts w:cs="Arial"/>
                <w:color w:val="auto"/>
              </w:rPr>
              <w:t>None</w:t>
            </w:r>
            <w:r w:rsidR="00CB7A4F" w:rsidRPr="00C55247">
              <w:rPr>
                <w:rFonts w:cs="Arial"/>
                <w:color w:val="auto"/>
              </w:rPr>
              <w:t xml:space="preserve"> </w:t>
            </w:r>
          </w:p>
        </w:tc>
        <w:tc>
          <w:tcPr>
            <w:tcW w:w="3026" w:type="dxa"/>
          </w:tcPr>
          <w:p w14:paraId="68285B07" w14:textId="054F3F9A" w:rsidR="001A1BA1" w:rsidRPr="00C55247" w:rsidRDefault="001A1BA1" w:rsidP="001A1BA1">
            <w:pPr>
              <w:pStyle w:val="Bulletpoints"/>
              <w:numPr>
                <w:ilvl w:val="0"/>
                <w:numId w:val="0"/>
              </w:numPr>
              <w:rPr>
                <w:rFonts w:cs="Arial"/>
                <w:color w:val="auto"/>
              </w:rPr>
            </w:pPr>
          </w:p>
        </w:tc>
      </w:tr>
      <w:tr w:rsidR="007967CA" w:rsidRPr="003E4C33" w14:paraId="2C18B277" w14:textId="77777777" w:rsidTr="00BD1F7A">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2A19DEF4" w:rsidR="007967CA" w:rsidRPr="00C55247" w:rsidRDefault="003D26BD" w:rsidP="00372A82">
            <w:pPr>
              <w:pStyle w:val="bParagraphtext"/>
              <w:numPr>
                <w:ilvl w:val="0"/>
                <w:numId w:val="0"/>
              </w:numPr>
              <w:rPr>
                <w:rFonts w:cs="Arial"/>
                <w:color w:val="auto"/>
              </w:rPr>
            </w:pPr>
            <w:r>
              <w:rPr>
                <w:rFonts w:cs="Arial"/>
                <w:color w:val="auto"/>
              </w:rPr>
              <w:t>None declared</w:t>
            </w:r>
            <w:r w:rsidR="007967CA" w:rsidRPr="00C55247">
              <w:rPr>
                <w:rFonts w:cs="Arial"/>
                <w:color w:val="auto"/>
              </w:rPr>
              <w:t xml:space="preserve">. </w:t>
            </w:r>
          </w:p>
        </w:tc>
        <w:tc>
          <w:tcPr>
            <w:tcW w:w="3026" w:type="dxa"/>
          </w:tcPr>
          <w:p w14:paraId="5918EBBE" w14:textId="3D8AF522" w:rsidR="007967CA" w:rsidRPr="00C55247" w:rsidRDefault="007967CA" w:rsidP="007967CA">
            <w:pPr>
              <w:pStyle w:val="Bulletpoints"/>
              <w:numPr>
                <w:ilvl w:val="0"/>
                <w:numId w:val="0"/>
              </w:numPr>
              <w:rPr>
                <w:rFonts w:cs="Arial"/>
                <w:b/>
                <w:color w:val="auto"/>
              </w:rPr>
            </w:pP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lastRenderedPageBreak/>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D4075" w14:textId="65DAA126" w:rsidR="006C767F" w:rsidRPr="003E4C33" w:rsidRDefault="00F4662E" w:rsidP="12E744BB">
            <w:pPr>
              <w:rPr>
                <w:rFonts w:eastAsia="Arial" w:cs="Arial"/>
              </w:rPr>
            </w:pPr>
            <w:r>
              <w:rPr>
                <w:rFonts w:cs="Arial"/>
              </w:rPr>
              <w:t>Finance Performance and Dividend Report to OCHL Board on 15 December 2024, where the Board approved the recommendation of declaring a £3m dividend from OCH(D)L, subject to compliance with the Council’s governance arrangements. Not Exempt</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3BAA05AE" w:rsidR="00E87F7A" w:rsidRPr="003E4C33" w:rsidRDefault="00530DF4" w:rsidP="00A46E98">
            <w:pPr>
              <w:rPr>
                <w:rFonts w:cs="Arial"/>
              </w:rPr>
            </w:pPr>
            <w:r>
              <w:rPr>
                <w:rFonts w:cs="Arial"/>
              </w:rPr>
              <w:t>David Watt</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2C73EF3F" w:rsidR="00E87F7A" w:rsidRPr="00C55247" w:rsidRDefault="00530DF4" w:rsidP="00A46E98">
            <w:pPr>
              <w:rPr>
                <w:rFonts w:cs="Arial"/>
                <w:color w:val="auto"/>
              </w:rPr>
            </w:pPr>
            <w:r>
              <w:rPr>
                <w:rFonts w:cs="Arial"/>
                <w:color w:val="auto"/>
              </w:rPr>
              <w:t>Strategic Finance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7348603B" w:rsidR="00E87F7A" w:rsidRPr="00C55247" w:rsidRDefault="00530DF4" w:rsidP="00A46E98">
            <w:pPr>
              <w:rPr>
                <w:rFonts w:cs="Arial"/>
                <w:color w:val="auto"/>
              </w:rPr>
            </w:pPr>
            <w:r>
              <w:rPr>
                <w:rFonts w:cs="Arial"/>
                <w:color w:val="auto"/>
              </w:rPr>
              <w:t>Oxford City Housing Limited</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0AC1D69D" w:rsidR="00530DF4" w:rsidRPr="00C55247" w:rsidRDefault="00530DF4" w:rsidP="00530DF4">
            <w:pPr>
              <w:rPr>
                <w:rStyle w:val="Hyperlink"/>
                <w:rFonts w:cs="Arial"/>
                <w:color w:val="auto"/>
              </w:rPr>
            </w:pPr>
            <w:hyperlink r:id="rId11" w:history="1">
              <w:r w:rsidRPr="007A7444">
                <w:rPr>
                  <w:rStyle w:val="Hyperlink"/>
                </w:rPr>
                <w:t>dwatt@oxford.gov.uk</w:t>
              </w:r>
            </w:hyperlink>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8"/>
        <w:gridCol w:w="4536"/>
        <w:gridCol w:w="1418"/>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449855D8" w:rsidR="001A1BA1" w:rsidRPr="003E4C33" w:rsidRDefault="001A1BA1" w:rsidP="000772EB">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33DFBFFA" w14:textId="49B6D948" w:rsidR="001A1BA1" w:rsidRPr="00C55247" w:rsidRDefault="00911682" w:rsidP="000772EB">
            <w:pPr>
              <w:rPr>
                <w:color w:val="A6A6A6" w:themeColor="background1" w:themeShade="A6"/>
              </w:rPr>
            </w:pPr>
            <w:r>
              <w:rPr>
                <w:color w:val="A6A6A6" w:themeColor="background1" w:themeShade="A6"/>
              </w:rPr>
              <w:t>N/A</w:t>
            </w:r>
          </w:p>
        </w:tc>
        <w:tc>
          <w:tcPr>
            <w:tcW w:w="1417" w:type="dxa"/>
            <w:vAlign w:val="center"/>
          </w:tcPr>
          <w:p w14:paraId="29D4AEB7" w14:textId="77777777" w:rsidR="001A1BA1" w:rsidRPr="003E4C33" w:rsidRDefault="001A1BA1" w:rsidP="000772EB"/>
        </w:tc>
      </w:tr>
      <w:tr w:rsidR="001A1BA1" w:rsidRPr="003E4C33" w14:paraId="5B08396D" w14:textId="77777777" w:rsidTr="6705CB2F">
        <w:trPr>
          <w:trHeight w:val="1161"/>
        </w:trPr>
        <w:tc>
          <w:tcPr>
            <w:tcW w:w="3119" w:type="dxa"/>
          </w:tcPr>
          <w:p w14:paraId="206914C9" w14:textId="56FA33D0" w:rsidR="001A1BA1" w:rsidRPr="003E4C33" w:rsidRDefault="00D566E2" w:rsidP="000772EB">
            <w:pPr>
              <w:spacing w:before="120"/>
              <w:rPr>
                <w:b/>
              </w:rPr>
            </w:pPr>
            <w:r>
              <w:rPr>
                <w:b/>
              </w:rPr>
              <w:t>Group Finance Director</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5343FE91" w14:textId="7FAB6748" w:rsidR="001A1BA1" w:rsidRDefault="004E6FE7" w:rsidP="000772EB">
            <w:r w:rsidRPr="00EA6048">
              <w:rPr>
                <w:noProof/>
              </w:rPr>
              <w:drawing>
                <wp:inline distT="0" distB="0" distL="0" distR="0" wp14:anchorId="66482ED5" wp14:editId="22C521B8">
                  <wp:extent cx="1112520" cy="845820"/>
                  <wp:effectExtent l="0" t="0" r="0" b="0"/>
                  <wp:docPr id="822614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845820"/>
                          </a:xfrm>
                          <a:prstGeom prst="rect">
                            <a:avLst/>
                          </a:prstGeom>
                          <a:noFill/>
                          <a:ln>
                            <a:noFill/>
                          </a:ln>
                        </pic:spPr>
                      </pic:pic>
                    </a:graphicData>
                  </a:graphic>
                </wp:inline>
              </w:drawing>
            </w:r>
          </w:p>
          <w:p w14:paraId="476C7451" w14:textId="4208CF6B" w:rsidR="004E6FE7" w:rsidRPr="003E4C33" w:rsidRDefault="004E6FE7" w:rsidP="000772EB">
            <w:r>
              <w:t>NIGEL KENNEDY</w:t>
            </w:r>
          </w:p>
        </w:tc>
        <w:tc>
          <w:tcPr>
            <w:tcW w:w="1417" w:type="dxa"/>
            <w:vAlign w:val="center"/>
          </w:tcPr>
          <w:p w14:paraId="26B724B7" w14:textId="028FC435" w:rsidR="001A1BA1" w:rsidRPr="003E4C33" w:rsidRDefault="00911682" w:rsidP="000772EB">
            <w:r>
              <w:t>30/04/2025</w:t>
            </w:r>
          </w:p>
        </w:tc>
      </w:tr>
      <w:tr w:rsidR="001A1BA1" w:rsidRPr="003E4C33" w14:paraId="54CB0EFE" w14:textId="77777777" w:rsidTr="6705CB2F">
        <w:trPr>
          <w:trHeight w:val="834"/>
        </w:trPr>
        <w:tc>
          <w:tcPr>
            <w:tcW w:w="3119" w:type="dxa"/>
          </w:tcPr>
          <w:p w14:paraId="658FE63C" w14:textId="657649B8" w:rsidR="001A1BA1" w:rsidRPr="003E4C33" w:rsidRDefault="00C56120" w:rsidP="000772EB">
            <w:pPr>
              <w:spacing w:before="120"/>
              <w:rPr>
                <w:b/>
              </w:rPr>
            </w:pPr>
            <w:r>
              <w:rPr>
                <w:b/>
              </w:rPr>
              <w:t>Director of Law, Governance and Strategy</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1C347DED" w14:textId="399F2F46" w:rsidR="001A1BA1" w:rsidRDefault="004E6FE7" w:rsidP="000772EB">
            <w:r w:rsidRPr="006E2298">
              <w:rPr>
                <w:noProof/>
              </w:rPr>
              <w:drawing>
                <wp:inline distT="0" distB="0" distL="0" distR="0" wp14:anchorId="2AE564F3" wp14:editId="3D5E93EC">
                  <wp:extent cx="2149929" cy="843196"/>
                  <wp:effectExtent l="0" t="0" r="3175" b="0"/>
                  <wp:docPr id="296029902" name="Picture 296029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1989" cy="847926"/>
                          </a:xfrm>
                          <a:prstGeom prst="rect">
                            <a:avLst/>
                          </a:prstGeom>
                        </pic:spPr>
                      </pic:pic>
                    </a:graphicData>
                  </a:graphic>
                </wp:inline>
              </w:drawing>
            </w:r>
          </w:p>
          <w:p w14:paraId="459F8630" w14:textId="5FEEF467" w:rsidR="004E6FE7" w:rsidRPr="003E4C33" w:rsidRDefault="004E6FE7" w:rsidP="000772EB">
            <w:r>
              <w:t>EMMA JACKMAN</w:t>
            </w:r>
          </w:p>
        </w:tc>
        <w:tc>
          <w:tcPr>
            <w:tcW w:w="1417" w:type="dxa"/>
          </w:tcPr>
          <w:p w14:paraId="6FF4CEA5" w14:textId="77777777" w:rsidR="001A1BA1" w:rsidRDefault="001A1BA1" w:rsidP="000772EB"/>
          <w:p w14:paraId="66A32DB4" w14:textId="77777777" w:rsidR="004E6FE7" w:rsidRDefault="004E6FE7" w:rsidP="000772EB"/>
          <w:p w14:paraId="13EBB6A8" w14:textId="484E16BA" w:rsidR="004E6FE7" w:rsidRPr="003E4C33" w:rsidRDefault="00530DF4" w:rsidP="000772EB">
            <w:r>
              <w:t>30</w:t>
            </w:r>
            <w:r w:rsidR="004E6FE7">
              <w:t>/0</w:t>
            </w:r>
            <w:r>
              <w:t>4</w:t>
            </w:r>
            <w:r w:rsidR="004E6FE7">
              <w:t>/2025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7843B61C" w:rsidR="001A1BA1" w:rsidRPr="003E4C33" w:rsidRDefault="00911682" w:rsidP="000772EB">
            <w:r>
              <w:t>n/a</w:t>
            </w:r>
          </w:p>
        </w:tc>
        <w:tc>
          <w:tcPr>
            <w:tcW w:w="1417" w:type="dxa"/>
            <w:vAlign w:val="center"/>
          </w:tcPr>
          <w:p w14:paraId="79ED7A02" w14:textId="77777777" w:rsidR="001A1BA1" w:rsidRPr="003E4C33" w:rsidRDefault="001A1BA1" w:rsidP="000772EB"/>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lastRenderedPageBreak/>
              <w:t>Where required</w:t>
            </w:r>
            <w:r w:rsidR="2187760D" w:rsidRPr="003E4C33">
              <w:t xml:space="preserve"> by the Constitution or conditions of the delegation</w:t>
            </w:r>
          </w:p>
        </w:tc>
        <w:tc>
          <w:tcPr>
            <w:tcW w:w="4536" w:type="dxa"/>
            <w:vAlign w:val="center"/>
          </w:tcPr>
          <w:p w14:paraId="0E06D3A4" w14:textId="5CB4B054" w:rsidR="001A1BA1" w:rsidRPr="003E4C33" w:rsidRDefault="00911682" w:rsidP="000772EB">
            <w:r>
              <w:lastRenderedPageBreak/>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387"/>
        <w:gridCol w:w="1842"/>
      </w:tblGrid>
      <w:tr w:rsidR="0BC4DFF5" w:rsidRPr="003E4C33" w14:paraId="56628C58" w14:textId="77777777" w:rsidTr="00344685">
        <w:trPr>
          <w:trHeight w:val="300"/>
        </w:trPr>
        <w:tc>
          <w:tcPr>
            <w:tcW w:w="5387" w:type="dxa"/>
            <w:vAlign w:val="center"/>
          </w:tcPr>
          <w:p w14:paraId="0E828CBD" w14:textId="77777777" w:rsidR="0BC4DFF5" w:rsidRPr="003E4C33" w:rsidRDefault="0BC4DFF5" w:rsidP="0BC4DFF5">
            <w:pPr>
              <w:rPr>
                <w:b/>
                <w:bCs/>
                <w:i/>
                <w:iCs/>
              </w:rPr>
            </w:pPr>
            <w:r w:rsidRPr="003E4C33">
              <w:rPr>
                <w:b/>
                <w:bCs/>
                <w:i/>
                <w:iCs/>
              </w:rPr>
              <w:t>Name and job title</w:t>
            </w:r>
          </w:p>
        </w:tc>
        <w:tc>
          <w:tcPr>
            <w:tcW w:w="1842"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0344685">
        <w:trPr>
          <w:trHeight w:val="300"/>
        </w:trPr>
        <w:tc>
          <w:tcPr>
            <w:tcW w:w="5387" w:type="dxa"/>
            <w:vAlign w:val="center"/>
          </w:tcPr>
          <w:p w14:paraId="3AF8B9F9" w14:textId="4F8CCF29" w:rsidR="00530DF4" w:rsidRDefault="00530DF4">
            <w:pPr>
              <w:rPr>
                <w:color w:val="auto"/>
              </w:rPr>
            </w:pPr>
            <w:r>
              <w:rPr>
                <w:noProof/>
              </w:rPr>
              <w:drawing>
                <wp:inline distT="0" distB="0" distL="0" distR="0" wp14:anchorId="62C21FE9" wp14:editId="4C4F1412">
                  <wp:extent cx="1552754" cy="580369"/>
                  <wp:effectExtent l="0" t="0" r="0" b="0"/>
                  <wp:docPr id="460215179" name="Picture 46021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9113" cy="586483"/>
                          </a:xfrm>
                          <a:prstGeom prst="rect">
                            <a:avLst/>
                          </a:prstGeom>
                          <a:noFill/>
                          <a:ln>
                            <a:noFill/>
                          </a:ln>
                        </pic:spPr>
                      </pic:pic>
                    </a:graphicData>
                  </a:graphic>
                </wp:inline>
              </w:drawing>
            </w:r>
          </w:p>
          <w:p w14:paraId="249841EC" w14:textId="0F4DE938" w:rsidR="0BC4DFF5" w:rsidRPr="00C55247" w:rsidRDefault="00344685">
            <w:r>
              <w:rPr>
                <w:color w:val="auto"/>
              </w:rPr>
              <w:t>Councillor Susan Brown, Leader of the Council</w:t>
            </w:r>
          </w:p>
        </w:tc>
        <w:tc>
          <w:tcPr>
            <w:tcW w:w="1842" w:type="dxa"/>
            <w:vAlign w:val="center"/>
          </w:tcPr>
          <w:p w14:paraId="32E398AB" w14:textId="7A1F0197" w:rsidR="00CB7A4F" w:rsidRPr="003E4C33" w:rsidRDefault="00911682">
            <w:r>
              <w:t>30/04/2025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5"/>
      <w:footerReference w:type="even" r:id="rId16"/>
      <w:footerReference w:type="default" r:id="rId17"/>
      <w:headerReference w:type="first" r:id="rId18"/>
      <w:footerReference w:type="first" r:id="rId19"/>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23F6" w14:textId="77777777" w:rsidR="001716A3" w:rsidRDefault="001716A3" w:rsidP="004A6D2F">
      <w:r>
        <w:separator/>
      </w:r>
    </w:p>
  </w:endnote>
  <w:endnote w:type="continuationSeparator" w:id="0">
    <w:p w14:paraId="51855CBB" w14:textId="77777777" w:rsidR="001716A3" w:rsidRDefault="001716A3"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9F93" w14:textId="77777777" w:rsidR="001716A3" w:rsidRDefault="001716A3" w:rsidP="004A6D2F">
      <w:r>
        <w:separator/>
      </w:r>
    </w:p>
  </w:footnote>
  <w:footnote w:type="continuationSeparator" w:id="0">
    <w:p w14:paraId="34FA4136" w14:textId="77777777" w:rsidR="001716A3" w:rsidRDefault="001716A3"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4D8A"/>
    <w:rsid w:val="00064F82"/>
    <w:rsid w:val="00066510"/>
    <w:rsid w:val="00077523"/>
    <w:rsid w:val="0008425C"/>
    <w:rsid w:val="000B1DFC"/>
    <w:rsid w:val="000C089F"/>
    <w:rsid w:val="000C260D"/>
    <w:rsid w:val="000C3928"/>
    <w:rsid w:val="000C51D6"/>
    <w:rsid w:val="000C5E8E"/>
    <w:rsid w:val="000F3878"/>
    <w:rsid w:val="000F4751"/>
    <w:rsid w:val="0010524C"/>
    <w:rsid w:val="00111FB1"/>
    <w:rsid w:val="00113418"/>
    <w:rsid w:val="00117C1C"/>
    <w:rsid w:val="00124E5C"/>
    <w:rsid w:val="001356F1"/>
    <w:rsid w:val="00136994"/>
    <w:rsid w:val="0014128E"/>
    <w:rsid w:val="00151888"/>
    <w:rsid w:val="00170A2D"/>
    <w:rsid w:val="001716A3"/>
    <w:rsid w:val="001808BC"/>
    <w:rsid w:val="00182B81"/>
    <w:rsid w:val="0018619D"/>
    <w:rsid w:val="001A011E"/>
    <w:rsid w:val="001A066A"/>
    <w:rsid w:val="001A13E6"/>
    <w:rsid w:val="001A1BA1"/>
    <w:rsid w:val="001A5731"/>
    <w:rsid w:val="001B42C3"/>
    <w:rsid w:val="001C5D5E"/>
    <w:rsid w:val="001D678D"/>
    <w:rsid w:val="001E03F8"/>
    <w:rsid w:val="001E1678"/>
    <w:rsid w:val="001E3376"/>
    <w:rsid w:val="002069B3"/>
    <w:rsid w:val="00226F8A"/>
    <w:rsid w:val="002329CF"/>
    <w:rsid w:val="00232F5B"/>
    <w:rsid w:val="00241830"/>
    <w:rsid w:val="00247C29"/>
    <w:rsid w:val="00260467"/>
    <w:rsid w:val="00263EA3"/>
    <w:rsid w:val="00284F85"/>
    <w:rsid w:val="002870C3"/>
    <w:rsid w:val="00290915"/>
    <w:rsid w:val="002A22E2"/>
    <w:rsid w:val="002B46A9"/>
    <w:rsid w:val="002B6836"/>
    <w:rsid w:val="002C64F7"/>
    <w:rsid w:val="002F41F2"/>
    <w:rsid w:val="00301BF3"/>
    <w:rsid w:val="0030208D"/>
    <w:rsid w:val="00323418"/>
    <w:rsid w:val="003273FD"/>
    <w:rsid w:val="0033565F"/>
    <w:rsid w:val="003357BF"/>
    <w:rsid w:val="00340B77"/>
    <w:rsid w:val="00344685"/>
    <w:rsid w:val="00354567"/>
    <w:rsid w:val="00364FAD"/>
    <w:rsid w:val="0036738F"/>
    <w:rsid w:val="0036759C"/>
    <w:rsid w:val="00367AE5"/>
    <w:rsid w:val="00367D71"/>
    <w:rsid w:val="00372A82"/>
    <w:rsid w:val="0038150A"/>
    <w:rsid w:val="003839BF"/>
    <w:rsid w:val="003B6E75"/>
    <w:rsid w:val="003B7DA1"/>
    <w:rsid w:val="003D0379"/>
    <w:rsid w:val="003D2574"/>
    <w:rsid w:val="003D26BD"/>
    <w:rsid w:val="003D4C5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6078"/>
    <w:rsid w:val="004A2AC7"/>
    <w:rsid w:val="004A39C3"/>
    <w:rsid w:val="004A6D2F"/>
    <w:rsid w:val="004B11AE"/>
    <w:rsid w:val="004C2887"/>
    <w:rsid w:val="004D2626"/>
    <w:rsid w:val="004D6E26"/>
    <w:rsid w:val="004D77D3"/>
    <w:rsid w:val="004E2959"/>
    <w:rsid w:val="004E6FE7"/>
    <w:rsid w:val="004F20EF"/>
    <w:rsid w:val="004F554F"/>
    <w:rsid w:val="0050321C"/>
    <w:rsid w:val="00507ECC"/>
    <w:rsid w:val="00512370"/>
    <w:rsid w:val="00523261"/>
    <w:rsid w:val="00530DF4"/>
    <w:rsid w:val="00531E16"/>
    <w:rsid w:val="00534FAE"/>
    <w:rsid w:val="0054712D"/>
    <w:rsid w:val="00547EF6"/>
    <w:rsid w:val="0055056C"/>
    <w:rsid w:val="005570B5"/>
    <w:rsid w:val="00566DCF"/>
    <w:rsid w:val="00567E18"/>
    <w:rsid w:val="00575F5F"/>
    <w:rsid w:val="00576CD0"/>
    <w:rsid w:val="00581805"/>
    <w:rsid w:val="00585F76"/>
    <w:rsid w:val="005A34E4"/>
    <w:rsid w:val="005A6610"/>
    <w:rsid w:val="005B064B"/>
    <w:rsid w:val="005B17F2"/>
    <w:rsid w:val="005B7FB0"/>
    <w:rsid w:val="005C35A5"/>
    <w:rsid w:val="005C577C"/>
    <w:rsid w:val="005D0621"/>
    <w:rsid w:val="005D1E27"/>
    <w:rsid w:val="005D2A3E"/>
    <w:rsid w:val="005E022E"/>
    <w:rsid w:val="005E2B45"/>
    <w:rsid w:val="005E5215"/>
    <w:rsid w:val="005F7F7E"/>
    <w:rsid w:val="00614693"/>
    <w:rsid w:val="00622741"/>
    <w:rsid w:val="00623C2F"/>
    <w:rsid w:val="00630829"/>
    <w:rsid w:val="00633578"/>
    <w:rsid w:val="0063408C"/>
    <w:rsid w:val="00634707"/>
    <w:rsid w:val="00635E3E"/>
    <w:rsid w:val="00637068"/>
    <w:rsid w:val="006419CA"/>
    <w:rsid w:val="00650811"/>
    <w:rsid w:val="00661D3E"/>
    <w:rsid w:val="00692627"/>
    <w:rsid w:val="0069697B"/>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614E"/>
    <w:rsid w:val="006F0292"/>
    <w:rsid w:val="006F27FA"/>
    <w:rsid w:val="006F416B"/>
    <w:rsid w:val="006F519B"/>
    <w:rsid w:val="00713675"/>
    <w:rsid w:val="00715823"/>
    <w:rsid w:val="007253EF"/>
    <w:rsid w:val="00737B93"/>
    <w:rsid w:val="00745BF0"/>
    <w:rsid w:val="00751EA3"/>
    <w:rsid w:val="007615FE"/>
    <w:rsid w:val="00764BAF"/>
    <w:rsid w:val="0076655C"/>
    <w:rsid w:val="007742DC"/>
    <w:rsid w:val="00791437"/>
    <w:rsid w:val="007967CA"/>
    <w:rsid w:val="007B0C2C"/>
    <w:rsid w:val="007B278E"/>
    <w:rsid w:val="007B5CA2"/>
    <w:rsid w:val="007C1F3D"/>
    <w:rsid w:val="007C5C23"/>
    <w:rsid w:val="007E2A26"/>
    <w:rsid w:val="007F2348"/>
    <w:rsid w:val="007F4757"/>
    <w:rsid w:val="00803F07"/>
    <w:rsid w:val="0080749A"/>
    <w:rsid w:val="00821FB8"/>
    <w:rsid w:val="00822ACD"/>
    <w:rsid w:val="00855C66"/>
    <w:rsid w:val="00871EE4"/>
    <w:rsid w:val="008954DF"/>
    <w:rsid w:val="008A34D3"/>
    <w:rsid w:val="008B293F"/>
    <w:rsid w:val="008B7371"/>
    <w:rsid w:val="008C3026"/>
    <w:rsid w:val="008D2347"/>
    <w:rsid w:val="008D3DDB"/>
    <w:rsid w:val="008F1BB4"/>
    <w:rsid w:val="008F3B04"/>
    <w:rsid w:val="008F573F"/>
    <w:rsid w:val="009034EC"/>
    <w:rsid w:val="00911682"/>
    <w:rsid w:val="0093067A"/>
    <w:rsid w:val="00941C60"/>
    <w:rsid w:val="00941FD1"/>
    <w:rsid w:val="0094443D"/>
    <w:rsid w:val="00952C3A"/>
    <w:rsid w:val="0096297B"/>
    <w:rsid w:val="00966D42"/>
    <w:rsid w:val="00971689"/>
    <w:rsid w:val="0097170F"/>
    <w:rsid w:val="00973E90"/>
    <w:rsid w:val="00975B07"/>
    <w:rsid w:val="00980B4A"/>
    <w:rsid w:val="0099164D"/>
    <w:rsid w:val="009B3E8A"/>
    <w:rsid w:val="009D3627"/>
    <w:rsid w:val="009D7080"/>
    <w:rsid w:val="009E3D0A"/>
    <w:rsid w:val="009E51FC"/>
    <w:rsid w:val="009E68E0"/>
    <w:rsid w:val="009F1D28"/>
    <w:rsid w:val="009F6BC0"/>
    <w:rsid w:val="009F7618"/>
    <w:rsid w:val="00A04D23"/>
    <w:rsid w:val="00A06766"/>
    <w:rsid w:val="00A13765"/>
    <w:rsid w:val="00A21B12"/>
    <w:rsid w:val="00A23F80"/>
    <w:rsid w:val="00A46E98"/>
    <w:rsid w:val="00A6352B"/>
    <w:rsid w:val="00A701B5"/>
    <w:rsid w:val="00A714BB"/>
    <w:rsid w:val="00A77147"/>
    <w:rsid w:val="00A824F2"/>
    <w:rsid w:val="00A92D8F"/>
    <w:rsid w:val="00AB2988"/>
    <w:rsid w:val="00AB2A81"/>
    <w:rsid w:val="00AB3F66"/>
    <w:rsid w:val="00AB7999"/>
    <w:rsid w:val="00AD3292"/>
    <w:rsid w:val="00AE1684"/>
    <w:rsid w:val="00AE262E"/>
    <w:rsid w:val="00AE7AF0"/>
    <w:rsid w:val="00B13A1E"/>
    <w:rsid w:val="00B35BD0"/>
    <w:rsid w:val="00B500CA"/>
    <w:rsid w:val="00B6369C"/>
    <w:rsid w:val="00B86314"/>
    <w:rsid w:val="00B93FFA"/>
    <w:rsid w:val="00BA1C2E"/>
    <w:rsid w:val="00BB726B"/>
    <w:rsid w:val="00BC200B"/>
    <w:rsid w:val="00BC4756"/>
    <w:rsid w:val="00BC69A4"/>
    <w:rsid w:val="00BD1F7A"/>
    <w:rsid w:val="00BE0680"/>
    <w:rsid w:val="00BE305F"/>
    <w:rsid w:val="00BE7BA3"/>
    <w:rsid w:val="00BF2B37"/>
    <w:rsid w:val="00BF4733"/>
    <w:rsid w:val="00BF5682"/>
    <w:rsid w:val="00BF7B09"/>
    <w:rsid w:val="00C00EB0"/>
    <w:rsid w:val="00C05260"/>
    <w:rsid w:val="00C059B9"/>
    <w:rsid w:val="00C076B9"/>
    <w:rsid w:val="00C13356"/>
    <w:rsid w:val="00C20A95"/>
    <w:rsid w:val="00C2692F"/>
    <w:rsid w:val="00C3207C"/>
    <w:rsid w:val="00C36619"/>
    <w:rsid w:val="00C400E1"/>
    <w:rsid w:val="00C41187"/>
    <w:rsid w:val="00C55247"/>
    <w:rsid w:val="00C56120"/>
    <w:rsid w:val="00C63C31"/>
    <w:rsid w:val="00C757A0"/>
    <w:rsid w:val="00C760DE"/>
    <w:rsid w:val="00C82630"/>
    <w:rsid w:val="00C85B4E"/>
    <w:rsid w:val="00C87578"/>
    <w:rsid w:val="00C907F7"/>
    <w:rsid w:val="00CA2103"/>
    <w:rsid w:val="00CB21E8"/>
    <w:rsid w:val="00CB6B99"/>
    <w:rsid w:val="00CB7A4F"/>
    <w:rsid w:val="00CE4C87"/>
    <w:rsid w:val="00CE544A"/>
    <w:rsid w:val="00D01361"/>
    <w:rsid w:val="00D11E1C"/>
    <w:rsid w:val="00D1328A"/>
    <w:rsid w:val="00D160B0"/>
    <w:rsid w:val="00D17F94"/>
    <w:rsid w:val="00D223FC"/>
    <w:rsid w:val="00D26D1E"/>
    <w:rsid w:val="00D33FBF"/>
    <w:rsid w:val="00D474CF"/>
    <w:rsid w:val="00D5547E"/>
    <w:rsid w:val="00D566E2"/>
    <w:rsid w:val="00D8270A"/>
    <w:rsid w:val="00D860E2"/>
    <w:rsid w:val="00D869A1"/>
    <w:rsid w:val="00DA413F"/>
    <w:rsid w:val="00DA4584"/>
    <w:rsid w:val="00DA47BC"/>
    <w:rsid w:val="00DA614B"/>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1D73"/>
    <w:rsid w:val="00E73684"/>
    <w:rsid w:val="00E818D6"/>
    <w:rsid w:val="00E87F7A"/>
    <w:rsid w:val="00E94B3E"/>
    <w:rsid w:val="00E96BD7"/>
    <w:rsid w:val="00EA0DB1"/>
    <w:rsid w:val="00EA0EE9"/>
    <w:rsid w:val="00ED52CA"/>
    <w:rsid w:val="00ED5860"/>
    <w:rsid w:val="00EE149B"/>
    <w:rsid w:val="00EE35C9"/>
    <w:rsid w:val="00F03F3C"/>
    <w:rsid w:val="00F05ECA"/>
    <w:rsid w:val="00F122B1"/>
    <w:rsid w:val="00F26E21"/>
    <w:rsid w:val="00F3566E"/>
    <w:rsid w:val="00F375FB"/>
    <w:rsid w:val="00F41AC1"/>
    <w:rsid w:val="00F4367A"/>
    <w:rsid w:val="00F445B1"/>
    <w:rsid w:val="00F45CD4"/>
    <w:rsid w:val="00F4662E"/>
    <w:rsid w:val="00F66DCA"/>
    <w:rsid w:val="00F704ED"/>
    <w:rsid w:val="00F74F53"/>
    <w:rsid w:val="00F7606D"/>
    <w:rsid w:val="00F81670"/>
    <w:rsid w:val="00F82024"/>
    <w:rsid w:val="00F865A3"/>
    <w:rsid w:val="00F95BC9"/>
    <w:rsid w:val="00F96B7E"/>
    <w:rsid w:val="00FA624C"/>
    <w:rsid w:val="00FB3B71"/>
    <w:rsid w:val="00FD0FAC"/>
    <w:rsid w:val="00FD1DFA"/>
    <w:rsid w:val="00FD4966"/>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 w:type="character" w:customStyle="1" w:styleId="normaltextrun">
    <w:name w:val="normaltextrun"/>
    <w:basedOn w:val="DefaultParagraphFont"/>
    <w:rsid w:val="00F4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att@oxford.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7BD3E2B40EE4B99233DA35941ABA9" ma:contentTypeVersion="10" ma:contentTypeDescription="Create a new document." ma:contentTypeScope="" ma:versionID="38b1035aa20c7e25a6a249c2c55016cd">
  <xsd:schema xmlns:xsd="http://www.w3.org/2001/XMLSchema" xmlns:xs="http://www.w3.org/2001/XMLSchema" xmlns:p="http://schemas.microsoft.com/office/2006/metadata/properties" xmlns:ns2="fdb8f1d2-729e-4e17-b922-d1876d49c6d9" targetNamespace="http://schemas.microsoft.com/office/2006/metadata/properties" ma:root="true" ma:fieldsID="37d5e34c32c15ea9f15eeef0f498b86d" ns2:_="">
    <xsd:import namespace="fdb8f1d2-729e-4e17-b922-d1876d49c6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8f1d2-729e-4e17-b922-d1876d49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F3102D5B-0633-456C-B2AE-862D26A7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8f1d2-729e-4e17-b922-d1876d4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3</cp:revision>
  <cp:lastPrinted>2015-07-03T13:50:00Z</cp:lastPrinted>
  <dcterms:created xsi:type="dcterms:W3CDTF">2025-05-02T10:20:00Z</dcterms:created>
  <dcterms:modified xsi:type="dcterms:W3CDTF">2025-05-02T10:24:00Z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0x01010045D7BD3E2B40EE4B99233DA35941ABA9</vt:lpwstr>
  </property>
</Properties>
</file>